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AD" w:rsidRDefault="00A50EAD" w:rsidP="00A50EAD">
      <w:pPr>
        <w:rPr>
          <w:sz w:val="2"/>
        </w:rPr>
      </w:pPr>
    </w:p>
    <w:tbl>
      <w:tblPr>
        <w:tblW w:w="10410" w:type="dxa"/>
        <w:tblInd w:w="108" w:type="dxa"/>
        <w:tblLayout w:type="fixed"/>
        <w:tblLook w:val="04A0"/>
      </w:tblPr>
      <w:tblGrid>
        <w:gridCol w:w="4424"/>
        <w:gridCol w:w="899"/>
        <w:gridCol w:w="5087"/>
      </w:tblGrid>
      <w:tr w:rsidR="00A50EAD" w:rsidTr="00A50EAD">
        <w:trPr>
          <w:cantSplit/>
          <w:trHeight w:val="188"/>
        </w:trPr>
        <w:tc>
          <w:tcPr>
            <w:tcW w:w="4422" w:type="dxa"/>
          </w:tcPr>
          <w:p w:rsidR="00A50EAD" w:rsidRDefault="00A50EAD">
            <w:pPr>
              <w:pStyle w:val="4"/>
              <w:tabs>
                <w:tab w:val="clear" w:pos="864"/>
                <w:tab w:val="num" w:pos="0"/>
                <w:tab w:val="left" w:pos="4180"/>
              </w:tabs>
              <w:snapToGrid w:val="0"/>
              <w:rPr>
                <w:b w:val="0"/>
                <w:sz w:val="20"/>
              </w:rPr>
            </w:pPr>
            <w:r>
              <w:rPr>
                <w:b w:val="0"/>
                <w:sz w:val="20"/>
              </w:rPr>
              <w:t>МИНФИН РОССИИ</w:t>
            </w:r>
          </w:p>
          <w:p w:rsidR="00A50EAD" w:rsidRDefault="00A50EAD">
            <w:pPr>
              <w:tabs>
                <w:tab w:val="left" w:pos="4180"/>
              </w:tabs>
              <w:jc w:val="center"/>
              <w:rPr>
                <w:bCs/>
                <w:sz w:val="20"/>
              </w:rPr>
            </w:pPr>
            <w:r>
              <w:rPr>
                <w:bCs/>
                <w:sz w:val="20"/>
              </w:rPr>
              <w:t>ФЕДЕРАЛЬНАЯ НАЛОГОВАЯ СЛУЖБА</w:t>
            </w:r>
          </w:p>
          <w:p w:rsidR="00A50EAD" w:rsidRDefault="00A50EAD">
            <w:pPr>
              <w:tabs>
                <w:tab w:val="left" w:pos="4180"/>
              </w:tabs>
              <w:jc w:val="center"/>
              <w:rPr>
                <w:b/>
                <w:bCs/>
                <w:sz w:val="8"/>
                <w:szCs w:val="8"/>
              </w:rPr>
            </w:pPr>
          </w:p>
          <w:p w:rsidR="00A50EAD" w:rsidRDefault="00A50EAD">
            <w:pPr>
              <w:tabs>
                <w:tab w:val="left" w:pos="4180"/>
              </w:tabs>
              <w:jc w:val="center"/>
              <w:rPr>
                <w:b/>
                <w:bCs/>
                <w:sz w:val="16"/>
                <w:szCs w:val="16"/>
              </w:rPr>
            </w:pPr>
            <w:r>
              <w:rPr>
                <w:b/>
                <w:bCs/>
                <w:sz w:val="16"/>
                <w:szCs w:val="16"/>
              </w:rPr>
              <w:t>УПРАВЛЕНИЕ</w:t>
            </w:r>
          </w:p>
          <w:p w:rsidR="00A50EAD" w:rsidRDefault="00A50EAD">
            <w:pPr>
              <w:tabs>
                <w:tab w:val="left" w:pos="4180"/>
              </w:tabs>
              <w:jc w:val="center"/>
              <w:rPr>
                <w:b/>
                <w:bCs/>
                <w:sz w:val="16"/>
                <w:szCs w:val="16"/>
              </w:rPr>
            </w:pPr>
            <w:r>
              <w:rPr>
                <w:b/>
                <w:bCs/>
                <w:sz w:val="16"/>
                <w:szCs w:val="16"/>
              </w:rPr>
              <w:t>ФЕДЕРАЛЬНОЙ НАЛОГОВОЙ СЛУЖБЫ</w:t>
            </w:r>
          </w:p>
          <w:p w:rsidR="00A50EAD" w:rsidRDefault="00A50EAD">
            <w:pPr>
              <w:tabs>
                <w:tab w:val="left" w:pos="4180"/>
              </w:tabs>
              <w:jc w:val="center"/>
              <w:rPr>
                <w:b/>
                <w:bCs/>
                <w:sz w:val="16"/>
                <w:szCs w:val="16"/>
              </w:rPr>
            </w:pPr>
            <w:r>
              <w:rPr>
                <w:b/>
                <w:bCs/>
                <w:sz w:val="16"/>
                <w:szCs w:val="16"/>
              </w:rPr>
              <w:t>ПО НОВОСИБИРСКОЙ ОБЛАСТИ</w:t>
            </w:r>
          </w:p>
          <w:p w:rsidR="00A50EAD" w:rsidRDefault="00A50EAD">
            <w:pPr>
              <w:tabs>
                <w:tab w:val="left" w:pos="4180"/>
              </w:tabs>
              <w:jc w:val="center"/>
              <w:rPr>
                <w:b/>
                <w:bCs/>
                <w:sz w:val="8"/>
                <w:szCs w:val="8"/>
              </w:rPr>
            </w:pPr>
          </w:p>
          <w:p w:rsidR="00A50EAD" w:rsidRDefault="00A50EAD">
            <w:pPr>
              <w:tabs>
                <w:tab w:val="left" w:pos="4180"/>
              </w:tabs>
              <w:jc w:val="center"/>
              <w:rPr>
                <w:sz w:val="16"/>
                <w:szCs w:val="16"/>
              </w:rPr>
            </w:pPr>
            <w:r>
              <w:rPr>
                <w:sz w:val="16"/>
                <w:szCs w:val="16"/>
              </w:rPr>
              <w:t>(УФНС России по Новосибирской области)</w:t>
            </w:r>
          </w:p>
          <w:p w:rsidR="00A50EAD" w:rsidRDefault="00A50EAD">
            <w:pPr>
              <w:tabs>
                <w:tab w:val="left" w:pos="4180"/>
              </w:tabs>
              <w:jc w:val="center"/>
              <w:rPr>
                <w:sz w:val="8"/>
                <w:szCs w:val="8"/>
              </w:rPr>
            </w:pPr>
          </w:p>
          <w:p w:rsidR="00A50EAD" w:rsidRDefault="00A50EAD">
            <w:pPr>
              <w:jc w:val="center"/>
              <w:rPr>
                <w:sz w:val="16"/>
                <w:szCs w:val="16"/>
              </w:rPr>
            </w:pPr>
            <w:r>
              <w:rPr>
                <w:sz w:val="16"/>
                <w:szCs w:val="16"/>
              </w:rPr>
              <w:t xml:space="preserve">ул. Каменская, </w:t>
            </w:r>
            <w:smartTag w:uri="urn:schemas-microsoft-com:office:smarttags" w:element="metricconverter">
              <w:smartTagPr>
                <w:attr w:name="ProductID" w:val="49, г"/>
              </w:smartTagPr>
              <w:r>
                <w:rPr>
                  <w:sz w:val="16"/>
                  <w:szCs w:val="16"/>
                </w:rPr>
                <w:t>49, г</w:t>
              </w:r>
            </w:smartTag>
            <w:r>
              <w:rPr>
                <w:sz w:val="16"/>
                <w:szCs w:val="16"/>
              </w:rPr>
              <w:t>. Новосибирск, 630005</w:t>
            </w:r>
          </w:p>
          <w:p w:rsidR="00A50EAD" w:rsidRDefault="00A50EAD">
            <w:pPr>
              <w:jc w:val="center"/>
              <w:rPr>
                <w:sz w:val="16"/>
                <w:szCs w:val="16"/>
              </w:rPr>
            </w:pPr>
            <w:r>
              <w:rPr>
                <w:sz w:val="16"/>
                <w:szCs w:val="16"/>
              </w:rPr>
              <w:t>Телефон: (383) 228-31-00;Телефакс: (383) 224-82-11;</w:t>
            </w:r>
          </w:p>
          <w:p w:rsidR="00A50EAD" w:rsidRDefault="00A50EAD">
            <w:pPr>
              <w:jc w:val="center"/>
              <w:rPr>
                <w:sz w:val="16"/>
              </w:rPr>
            </w:pPr>
            <w:r>
              <w:rPr>
                <w:sz w:val="16"/>
                <w:lang w:val="en-US"/>
              </w:rPr>
              <w:t>www</w:t>
            </w:r>
            <w:r>
              <w:rPr>
                <w:sz w:val="16"/>
              </w:rPr>
              <w:t>.</w:t>
            </w:r>
            <w:r>
              <w:rPr>
                <w:sz w:val="16"/>
                <w:lang w:val="en-US"/>
              </w:rPr>
              <w:t>nalog</w:t>
            </w:r>
            <w:r>
              <w:rPr>
                <w:sz w:val="16"/>
              </w:rPr>
              <w:t>.</w:t>
            </w:r>
            <w:r>
              <w:rPr>
                <w:sz w:val="16"/>
                <w:lang w:val="en-US"/>
              </w:rPr>
              <w:t>ru</w:t>
            </w:r>
          </w:p>
        </w:tc>
        <w:tc>
          <w:tcPr>
            <w:tcW w:w="899" w:type="dxa"/>
          </w:tcPr>
          <w:p w:rsidR="00A50EAD" w:rsidRDefault="00A50EAD">
            <w:pPr>
              <w:snapToGrid w:val="0"/>
            </w:pPr>
          </w:p>
        </w:tc>
        <w:tc>
          <w:tcPr>
            <w:tcW w:w="5086" w:type="dxa"/>
            <w:vMerge w:val="restart"/>
          </w:tcPr>
          <w:p w:rsidR="00A50EAD" w:rsidRDefault="00A50EAD">
            <w:pPr>
              <w:snapToGrid w:val="0"/>
              <w:rPr>
                <w:sz w:val="26"/>
                <w:szCs w:val="26"/>
                <w:lang w:val="en-US"/>
              </w:rPr>
            </w:pPr>
          </w:p>
          <w:p w:rsidR="00A50EAD" w:rsidRDefault="00A50EAD">
            <w:pPr>
              <w:snapToGrid w:val="0"/>
              <w:rPr>
                <w:sz w:val="26"/>
                <w:szCs w:val="26"/>
                <w:lang w:val="en-US"/>
              </w:rPr>
            </w:pPr>
          </w:p>
          <w:p w:rsidR="00A50EAD" w:rsidRDefault="00A50EAD">
            <w:pPr>
              <w:snapToGrid w:val="0"/>
              <w:rPr>
                <w:sz w:val="26"/>
                <w:szCs w:val="26"/>
                <w:lang w:val="en-US"/>
              </w:rPr>
            </w:pPr>
          </w:p>
          <w:p w:rsidR="00A50EAD" w:rsidRDefault="00A50EAD">
            <w:pPr>
              <w:snapToGrid w:val="0"/>
              <w:rPr>
                <w:sz w:val="26"/>
                <w:szCs w:val="26"/>
                <w:lang w:val="en-US"/>
              </w:rPr>
            </w:pPr>
          </w:p>
          <w:p w:rsidR="00A50EAD" w:rsidRDefault="00A50EAD">
            <w:pPr>
              <w:snapToGrid w:val="0"/>
              <w:rPr>
                <w:sz w:val="26"/>
                <w:szCs w:val="26"/>
                <w:lang w:val="en-US"/>
              </w:rPr>
            </w:pPr>
          </w:p>
          <w:p w:rsidR="00A50EAD" w:rsidRDefault="00A50EAD">
            <w:pPr>
              <w:snapToGrid w:val="0"/>
              <w:jc w:val="center"/>
              <w:rPr>
                <w:sz w:val="26"/>
                <w:szCs w:val="26"/>
                <w:lang w:val="en-US"/>
              </w:rPr>
            </w:pPr>
          </w:p>
          <w:p w:rsidR="00A50EAD" w:rsidRDefault="00A50EAD">
            <w:pPr>
              <w:snapToGrid w:val="0"/>
              <w:jc w:val="center"/>
              <w:rPr>
                <w:sz w:val="26"/>
                <w:szCs w:val="26"/>
              </w:rPr>
            </w:pPr>
          </w:p>
        </w:tc>
      </w:tr>
      <w:tr w:rsidR="00A50EAD" w:rsidTr="00A50EAD">
        <w:trPr>
          <w:cantSplit/>
          <w:trHeight w:val="282"/>
        </w:trPr>
        <w:tc>
          <w:tcPr>
            <w:tcW w:w="4422" w:type="dxa"/>
          </w:tcPr>
          <w:p w:rsidR="00A50EAD" w:rsidRDefault="00A50EAD">
            <w:pPr>
              <w:snapToGrid w:val="0"/>
            </w:pPr>
          </w:p>
        </w:tc>
        <w:tc>
          <w:tcPr>
            <w:tcW w:w="899" w:type="dxa"/>
          </w:tcPr>
          <w:p w:rsidR="00A50EAD" w:rsidRDefault="00A50EAD">
            <w:pPr>
              <w:snapToGrid w:val="0"/>
            </w:pPr>
          </w:p>
        </w:tc>
        <w:tc>
          <w:tcPr>
            <w:tcW w:w="5086" w:type="dxa"/>
            <w:vMerge/>
            <w:vAlign w:val="center"/>
            <w:hideMark/>
          </w:tcPr>
          <w:p w:rsidR="00A50EAD" w:rsidRDefault="00A50EAD">
            <w:pPr>
              <w:suppressAutoHyphens w:val="0"/>
              <w:rPr>
                <w:sz w:val="26"/>
                <w:szCs w:val="26"/>
              </w:rPr>
            </w:pPr>
          </w:p>
        </w:tc>
      </w:tr>
    </w:tbl>
    <w:p w:rsidR="00A50EAD" w:rsidRPr="000E6EF3" w:rsidRDefault="00A50EAD" w:rsidP="00A50EAD">
      <w:pPr>
        <w:jc w:val="both"/>
      </w:pPr>
    </w:p>
    <w:p w:rsidR="000E6EF3" w:rsidRPr="000E6EF3" w:rsidRDefault="000E6EF3" w:rsidP="000E6EF3">
      <w:pPr>
        <w:ind w:firstLine="709"/>
        <w:jc w:val="center"/>
        <w:rPr>
          <w:b/>
          <w:bCs/>
          <w:kern w:val="36"/>
          <w:lang w:eastAsia="ru-RU"/>
        </w:rPr>
      </w:pPr>
      <w:r w:rsidRPr="000E6EF3">
        <w:rPr>
          <w:b/>
          <w:bCs/>
          <w:kern w:val="36"/>
          <w:lang w:eastAsia="ru-RU"/>
        </w:rPr>
        <w:t>УФНС России по Новосибирской области информирует о порядке смены системы налогообложения</w:t>
      </w:r>
    </w:p>
    <w:p w:rsidR="000E6EF3" w:rsidRPr="000E6EF3" w:rsidRDefault="000E6EF3" w:rsidP="000E6EF3">
      <w:pPr>
        <w:jc w:val="both"/>
        <w:rPr>
          <w:bCs/>
          <w:kern w:val="36"/>
          <w:lang w:eastAsia="ru-RU"/>
        </w:rPr>
      </w:pPr>
    </w:p>
    <w:p w:rsidR="000E6EF3" w:rsidRPr="009575D1" w:rsidRDefault="000E6EF3" w:rsidP="000E6EF3">
      <w:pPr>
        <w:ind w:firstLine="709"/>
        <w:jc w:val="both"/>
        <w:rPr>
          <w:bCs/>
          <w:kern w:val="36"/>
          <w:lang w:eastAsia="ru-RU"/>
        </w:rPr>
      </w:pPr>
      <w:r w:rsidRPr="009575D1">
        <w:rPr>
          <w:bCs/>
          <w:kern w:val="36"/>
          <w:lang w:eastAsia="ru-RU"/>
        </w:rPr>
        <w:t>До 31 декабря 2020 года плательщикам единого налога на вмененный доход (ЕНВД) предстоит выбрать иную систему налогообложения. УФНС России по Новосибирской области напоминает: специальный налоговый режим ЕНВД отменяется на территории Российской Федерации с 1 января 2021 года в соответствии с Федеральным законом № 97-ФЗ от 29.06.2012.</w:t>
      </w:r>
    </w:p>
    <w:p w:rsidR="000E6EF3" w:rsidRPr="009575D1" w:rsidRDefault="000E6EF3" w:rsidP="000E6EF3">
      <w:pPr>
        <w:ind w:firstLine="709"/>
        <w:jc w:val="both"/>
        <w:rPr>
          <w:bCs/>
          <w:kern w:val="36"/>
          <w:lang w:eastAsia="ru-RU"/>
        </w:rPr>
      </w:pPr>
      <w:r w:rsidRPr="009575D1">
        <w:rPr>
          <w:bCs/>
          <w:kern w:val="36"/>
          <w:lang w:eastAsia="ru-RU"/>
        </w:rPr>
        <w:t>При этом заявления о прекращении деятельности по ЕНВД в налоговые органы подавать не нужно. Снятие</w:t>
      </w:r>
      <w:r w:rsidR="00566CEC">
        <w:rPr>
          <w:bCs/>
          <w:kern w:val="36"/>
          <w:lang w:eastAsia="ru-RU"/>
        </w:rPr>
        <w:t xml:space="preserve"> </w:t>
      </w:r>
      <w:r w:rsidRPr="009575D1">
        <w:rPr>
          <w:bCs/>
          <w:kern w:val="36"/>
          <w:lang w:eastAsia="ru-RU"/>
        </w:rPr>
        <w:t>с</w:t>
      </w:r>
      <w:r w:rsidR="00566CEC">
        <w:rPr>
          <w:bCs/>
          <w:kern w:val="36"/>
          <w:lang w:eastAsia="ru-RU"/>
        </w:rPr>
        <w:t xml:space="preserve"> </w:t>
      </w:r>
      <w:r w:rsidRPr="009575D1">
        <w:rPr>
          <w:bCs/>
          <w:kern w:val="36"/>
          <w:lang w:eastAsia="ru-RU"/>
        </w:rPr>
        <w:t>учета</w:t>
      </w:r>
      <w:r w:rsidR="00566CEC">
        <w:rPr>
          <w:bCs/>
          <w:kern w:val="36"/>
          <w:lang w:eastAsia="ru-RU"/>
        </w:rPr>
        <w:t xml:space="preserve"> </w:t>
      </w:r>
      <w:r w:rsidRPr="009575D1">
        <w:rPr>
          <w:bCs/>
          <w:kern w:val="36"/>
          <w:lang w:eastAsia="ru-RU"/>
        </w:rPr>
        <w:t>в</w:t>
      </w:r>
      <w:r w:rsidR="00566CEC">
        <w:rPr>
          <w:bCs/>
          <w:kern w:val="36"/>
          <w:lang w:eastAsia="ru-RU"/>
        </w:rPr>
        <w:t xml:space="preserve"> </w:t>
      </w:r>
      <w:r w:rsidRPr="009575D1">
        <w:rPr>
          <w:bCs/>
          <w:kern w:val="36"/>
          <w:lang w:eastAsia="ru-RU"/>
        </w:rPr>
        <w:t>качестве плательщика</w:t>
      </w:r>
      <w:r w:rsidR="00566CEC">
        <w:rPr>
          <w:bCs/>
          <w:kern w:val="36"/>
          <w:lang w:eastAsia="ru-RU"/>
        </w:rPr>
        <w:t xml:space="preserve"> </w:t>
      </w:r>
      <w:r w:rsidRPr="009575D1">
        <w:rPr>
          <w:bCs/>
          <w:kern w:val="36"/>
          <w:lang w:eastAsia="ru-RU"/>
        </w:rPr>
        <w:t>ЕНВД произойдет автоматически.</w:t>
      </w:r>
    </w:p>
    <w:p w:rsidR="000E6EF3" w:rsidRPr="009575D1" w:rsidRDefault="000E6EF3" w:rsidP="000E6EF3">
      <w:pPr>
        <w:ind w:firstLine="709"/>
        <w:jc w:val="both"/>
        <w:rPr>
          <w:bCs/>
          <w:kern w:val="36"/>
          <w:lang w:eastAsia="ru-RU"/>
        </w:rPr>
      </w:pPr>
      <w:r w:rsidRPr="009575D1">
        <w:rPr>
          <w:bCs/>
          <w:kern w:val="36"/>
          <w:lang w:eastAsia="ru-RU"/>
        </w:rPr>
        <w:t>В качестве альтернативы юридические лица могут перейти на общую систему налогообложения или упрощенную систему налогообложения, для индивидуальных предпринимателей кроме этих режимов доступна патентная система налогообложения (при условии, что они привлекают при осуществлении своей деятельности не более 15 работников без учета самого ИП).</w:t>
      </w:r>
    </w:p>
    <w:p w:rsidR="000E6EF3" w:rsidRPr="009575D1" w:rsidRDefault="000E6EF3" w:rsidP="000E6EF3">
      <w:pPr>
        <w:ind w:firstLine="709"/>
        <w:jc w:val="both"/>
        <w:rPr>
          <w:bCs/>
          <w:kern w:val="36"/>
          <w:lang w:eastAsia="ru-RU"/>
        </w:rPr>
      </w:pPr>
      <w:r w:rsidRPr="009575D1">
        <w:rPr>
          <w:bCs/>
          <w:kern w:val="36"/>
          <w:lang w:eastAsia="ru-RU"/>
        </w:rPr>
        <w:t>Организации и индивидуальные предприниматели, являющиеся сельскохозяйственными товаропроизводителями, вправе применять единый сельскохозяйственный налог.</w:t>
      </w:r>
    </w:p>
    <w:p w:rsidR="000E6EF3" w:rsidRPr="009575D1" w:rsidRDefault="000E6EF3" w:rsidP="000E6EF3">
      <w:pPr>
        <w:ind w:firstLine="709"/>
        <w:jc w:val="both"/>
        <w:rPr>
          <w:bCs/>
          <w:kern w:val="36"/>
          <w:lang w:eastAsia="ru-RU"/>
        </w:rPr>
      </w:pPr>
      <w:r w:rsidRPr="009575D1">
        <w:rPr>
          <w:bCs/>
          <w:kern w:val="36"/>
          <w:lang w:eastAsia="ru-RU"/>
        </w:rPr>
        <w:t>Индивидуальные предприниматели, не имеющие наемных работников, могут перейти на применение налога на профессиональный доход (НПД).</w:t>
      </w:r>
    </w:p>
    <w:p w:rsidR="000E6EF3" w:rsidRPr="009575D1" w:rsidRDefault="000E6EF3" w:rsidP="000E6EF3">
      <w:pPr>
        <w:ind w:firstLine="709"/>
        <w:jc w:val="both"/>
        <w:rPr>
          <w:bCs/>
          <w:kern w:val="36"/>
          <w:lang w:eastAsia="ru-RU"/>
        </w:rPr>
      </w:pPr>
      <w:r w:rsidRPr="009575D1">
        <w:rPr>
          <w:bCs/>
          <w:kern w:val="36"/>
          <w:lang w:eastAsia="ru-RU"/>
        </w:rPr>
        <w:t>Для перехода на иные специальные налоговые режимы необходимо подать в налоговые органы следующие документы:</w:t>
      </w:r>
    </w:p>
    <w:p w:rsidR="000E6EF3" w:rsidRPr="009575D1" w:rsidRDefault="000E6EF3" w:rsidP="000E6EF3">
      <w:pPr>
        <w:ind w:firstLine="709"/>
        <w:jc w:val="both"/>
        <w:rPr>
          <w:bCs/>
          <w:kern w:val="36"/>
          <w:lang w:eastAsia="ru-RU"/>
        </w:rPr>
      </w:pPr>
      <w:r w:rsidRPr="009575D1">
        <w:rPr>
          <w:bCs/>
          <w:kern w:val="36"/>
          <w:lang w:eastAsia="ru-RU"/>
        </w:rPr>
        <w:t>• уведомление о переходе на УСН не позднее 31 декабря 2020 года;</w:t>
      </w:r>
    </w:p>
    <w:p w:rsidR="000E6EF3" w:rsidRPr="009575D1" w:rsidRDefault="000E6EF3" w:rsidP="000E6EF3">
      <w:pPr>
        <w:ind w:firstLine="709"/>
        <w:jc w:val="both"/>
        <w:rPr>
          <w:bCs/>
          <w:kern w:val="36"/>
          <w:lang w:eastAsia="ru-RU"/>
        </w:rPr>
      </w:pPr>
      <w:r w:rsidRPr="009575D1">
        <w:rPr>
          <w:bCs/>
          <w:kern w:val="36"/>
          <w:lang w:eastAsia="ru-RU"/>
        </w:rPr>
        <w:t>• заявление на получение патента не позднее, чем за 10 дней до начала применения ПСН;</w:t>
      </w:r>
    </w:p>
    <w:p w:rsidR="000E6EF3" w:rsidRPr="009575D1" w:rsidRDefault="000E6EF3" w:rsidP="000E6EF3">
      <w:pPr>
        <w:ind w:firstLine="709"/>
        <w:jc w:val="both"/>
        <w:rPr>
          <w:bCs/>
          <w:kern w:val="36"/>
          <w:lang w:eastAsia="ru-RU"/>
        </w:rPr>
      </w:pPr>
      <w:r w:rsidRPr="009575D1">
        <w:rPr>
          <w:bCs/>
          <w:kern w:val="36"/>
          <w:lang w:eastAsia="ru-RU"/>
        </w:rPr>
        <w:t>• уведомление о переходе на ЕСХН не позднее 31 декабря 2020 года;</w:t>
      </w:r>
    </w:p>
    <w:p w:rsidR="000E6EF3" w:rsidRPr="009575D1" w:rsidRDefault="000E6EF3" w:rsidP="000E6EF3">
      <w:pPr>
        <w:ind w:firstLine="709"/>
        <w:jc w:val="both"/>
        <w:rPr>
          <w:bCs/>
          <w:kern w:val="36"/>
          <w:lang w:eastAsia="ru-RU"/>
        </w:rPr>
      </w:pPr>
      <w:r w:rsidRPr="009575D1">
        <w:rPr>
          <w:bCs/>
          <w:kern w:val="36"/>
          <w:lang w:eastAsia="ru-RU"/>
        </w:rPr>
        <w:t>• для перехода на НПД пройти регистрацию в приложении «Мой налог».</w:t>
      </w:r>
    </w:p>
    <w:p w:rsidR="000E6EF3" w:rsidRPr="009575D1" w:rsidRDefault="000E6EF3" w:rsidP="000E6EF3">
      <w:pPr>
        <w:ind w:firstLine="709"/>
        <w:jc w:val="both"/>
        <w:rPr>
          <w:bCs/>
          <w:kern w:val="36"/>
          <w:lang w:eastAsia="ru-RU"/>
        </w:rPr>
      </w:pPr>
      <w:r w:rsidRPr="009575D1">
        <w:rPr>
          <w:bCs/>
          <w:kern w:val="36"/>
          <w:lang w:eastAsia="ru-RU"/>
        </w:rPr>
        <w:t>Уведомление (заявление) о применении выбранного режима налогообложения можно подать через Личный кабинет налогоплательщика (юридического лица или индивидуального предпринимателя), по телекоммуникационным каналам связи, почтовым отправлением с описью вложения или лично в территориальный налоговый орган.</w:t>
      </w:r>
    </w:p>
    <w:p w:rsidR="000E6EF3" w:rsidRPr="009575D1" w:rsidRDefault="000E6EF3" w:rsidP="000E6EF3">
      <w:pPr>
        <w:ind w:firstLine="709"/>
        <w:jc w:val="both"/>
        <w:rPr>
          <w:bCs/>
          <w:kern w:val="36"/>
          <w:lang w:eastAsia="ru-RU"/>
        </w:rPr>
      </w:pPr>
      <w:r w:rsidRPr="009575D1">
        <w:rPr>
          <w:bCs/>
          <w:kern w:val="36"/>
          <w:lang w:eastAsia="ru-RU"/>
        </w:rPr>
        <w:t>Организации и предприниматели, не определившиеся с иным специальным налоговым режимом в установленные для этого сроки, автоматически переходят с 1 января 2021 года на общий режим налогообложения.</w:t>
      </w:r>
    </w:p>
    <w:p w:rsidR="000E6EF3" w:rsidRPr="00157DB7" w:rsidRDefault="000E6EF3" w:rsidP="000E6EF3">
      <w:pPr>
        <w:ind w:firstLine="709"/>
        <w:jc w:val="both"/>
        <w:rPr>
          <w:lang w:eastAsia="ru-RU"/>
        </w:rPr>
      </w:pPr>
      <w:r w:rsidRPr="009575D1">
        <w:rPr>
          <w:bCs/>
          <w:kern w:val="36"/>
          <w:lang w:eastAsia="ru-RU"/>
        </w:rPr>
        <w:t>С информацией о режимах налогообложения можно ознакомиться на сайте ФНС России www.nalog.ru. Интерактивные сервисы «Налоговый калькулятор: «Выбор режима налогообложения», «Какой режим подходит моему бизнесу?» помогут определиться при выборе альтернативной системы налогообложения.</w:t>
      </w:r>
      <w:bookmarkStart w:id="0" w:name="_GoBack"/>
      <w:bookmarkEnd w:id="0"/>
    </w:p>
    <w:p w:rsidR="00A50EAD" w:rsidRPr="00A50EAD" w:rsidRDefault="00A50EAD" w:rsidP="00A50EAD">
      <w:pPr>
        <w:tabs>
          <w:tab w:val="left" w:pos="426"/>
          <w:tab w:val="left" w:pos="709"/>
        </w:tabs>
        <w:jc w:val="center"/>
        <w:rPr>
          <w:b/>
        </w:rPr>
      </w:pPr>
    </w:p>
    <w:sectPr w:rsidR="00A50EAD" w:rsidRPr="00A50EAD" w:rsidSect="00DE10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A50EAD"/>
    <w:rsid w:val="000E6EF3"/>
    <w:rsid w:val="00177C0E"/>
    <w:rsid w:val="004A5A13"/>
    <w:rsid w:val="004C25C5"/>
    <w:rsid w:val="00566CEC"/>
    <w:rsid w:val="007E57A6"/>
    <w:rsid w:val="00A50EAD"/>
    <w:rsid w:val="00CB4D85"/>
    <w:rsid w:val="00D414E1"/>
    <w:rsid w:val="00DE1019"/>
    <w:rsid w:val="00E77314"/>
    <w:rsid w:val="00FD0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EA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50EAD"/>
    <w:pPr>
      <w:keepNext/>
      <w:numPr>
        <w:numId w:val="1"/>
      </w:numPr>
      <w:jc w:val="both"/>
      <w:outlineLvl w:val="0"/>
    </w:pPr>
    <w:rPr>
      <w:szCs w:val="20"/>
    </w:rPr>
  </w:style>
  <w:style w:type="paragraph" w:styleId="2">
    <w:name w:val="heading 2"/>
    <w:basedOn w:val="a"/>
    <w:next w:val="a"/>
    <w:link w:val="20"/>
    <w:semiHidden/>
    <w:unhideWhenUsed/>
    <w:qFormat/>
    <w:rsid w:val="00A50EAD"/>
    <w:pPr>
      <w:keepNext/>
      <w:numPr>
        <w:ilvl w:val="1"/>
        <w:numId w:val="1"/>
      </w:numPr>
      <w:jc w:val="both"/>
      <w:outlineLvl w:val="1"/>
    </w:pPr>
    <w:rPr>
      <w:sz w:val="28"/>
    </w:rPr>
  </w:style>
  <w:style w:type="paragraph" w:styleId="3">
    <w:name w:val="heading 3"/>
    <w:basedOn w:val="a"/>
    <w:next w:val="a"/>
    <w:link w:val="30"/>
    <w:semiHidden/>
    <w:unhideWhenUsed/>
    <w:qFormat/>
    <w:rsid w:val="00A50EAD"/>
    <w:pPr>
      <w:keepNext/>
      <w:numPr>
        <w:ilvl w:val="2"/>
        <w:numId w:val="1"/>
      </w:numPr>
      <w:outlineLvl w:val="2"/>
    </w:pPr>
    <w:rPr>
      <w:b/>
      <w:w w:val="110"/>
      <w:szCs w:val="20"/>
    </w:rPr>
  </w:style>
  <w:style w:type="paragraph" w:styleId="4">
    <w:name w:val="heading 4"/>
    <w:basedOn w:val="a"/>
    <w:next w:val="a"/>
    <w:link w:val="40"/>
    <w:semiHidden/>
    <w:unhideWhenUsed/>
    <w:qFormat/>
    <w:rsid w:val="00A50EAD"/>
    <w:pPr>
      <w:keepNext/>
      <w:numPr>
        <w:ilvl w:val="3"/>
        <w:numId w:val="1"/>
      </w:numPr>
      <w:jc w:val="center"/>
      <w:outlineLvl w:val="3"/>
    </w:pPr>
    <w:rPr>
      <w:b/>
      <w:sz w:val="16"/>
      <w:szCs w:val="20"/>
    </w:rPr>
  </w:style>
  <w:style w:type="paragraph" w:styleId="9">
    <w:name w:val="heading 9"/>
    <w:basedOn w:val="a"/>
    <w:next w:val="a"/>
    <w:link w:val="90"/>
    <w:semiHidden/>
    <w:unhideWhenUsed/>
    <w:qFormat/>
    <w:rsid w:val="00A50EAD"/>
    <w:pPr>
      <w:keepNext/>
      <w:numPr>
        <w:ilvl w:val="8"/>
        <w:numId w:val="1"/>
      </w:numPr>
      <w:jc w:val="center"/>
      <w:outlineLvl w:val="8"/>
    </w:pPr>
    <w:rPr>
      <w:b/>
      <w:bCs/>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0EAD"/>
    <w:rPr>
      <w:rFonts w:ascii="Times New Roman" w:eastAsia="Times New Roman" w:hAnsi="Times New Roman" w:cs="Times New Roman"/>
      <w:sz w:val="24"/>
      <w:szCs w:val="20"/>
      <w:lang w:eastAsia="ar-SA"/>
    </w:rPr>
  </w:style>
  <w:style w:type="character" w:customStyle="1" w:styleId="20">
    <w:name w:val="Заголовок 2 Знак"/>
    <w:basedOn w:val="a0"/>
    <w:link w:val="2"/>
    <w:semiHidden/>
    <w:rsid w:val="00A50EAD"/>
    <w:rPr>
      <w:rFonts w:ascii="Times New Roman" w:eastAsia="Times New Roman" w:hAnsi="Times New Roman" w:cs="Times New Roman"/>
      <w:sz w:val="28"/>
      <w:szCs w:val="24"/>
      <w:lang w:eastAsia="ar-SA"/>
    </w:rPr>
  </w:style>
  <w:style w:type="character" w:customStyle="1" w:styleId="30">
    <w:name w:val="Заголовок 3 Знак"/>
    <w:basedOn w:val="a0"/>
    <w:link w:val="3"/>
    <w:semiHidden/>
    <w:rsid w:val="00A50EAD"/>
    <w:rPr>
      <w:rFonts w:ascii="Times New Roman" w:eastAsia="Times New Roman" w:hAnsi="Times New Roman" w:cs="Times New Roman"/>
      <w:b/>
      <w:w w:val="110"/>
      <w:sz w:val="24"/>
      <w:szCs w:val="20"/>
      <w:lang w:eastAsia="ar-SA"/>
    </w:rPr>
  </w:style>
  <w:style w:type="character" w:customStyle="1" w:styleId="40">
    <w:name w:val="Заголовок 4 Знак"/>
    <w:basedOn w:val="a0"/>
    <w:link w:val="4"/>
    <w:semiHidden/>
    <w:rsid w:val="00A50EAD"/>
    <w:rPr>
      <w:rFonts w:ascii="Times New Roman" w:eastAsia="Times New Roman" w:hAnsi="Times New Roman" w:cs="Times New Roman"/>
      <w:b/>
      <w:sz w:val="16"/>
      <w:szCs w:val="20"/>
      <w:lang w:eastAsia="ar-SA"/>
    </w:rPr>
  </w:style>
  <w:style w:type="character" w:customStyle="1" w:styleId="90">
    <w:name w:val="Заголовок 9 Знак"/>
    <w:basedOn w:val="a0"/>
    <w:link w:val="9"/>
    <w:semiHidden/>
    <w:rsid w:val="00A50EAD"/>
    <w:rPr>
      <w:rFonts w:ascii="Times New Roman" w:eastAsia="Times New Roman" w:hAnsi="Times New Roman" w:cs="Times New Roman"/>
      <w:b/>
      <w:bCs/>
      <w:sz w:val="18"/>
      <w:szCs w:val="20"/>
      <w:lang w:eastAsia="ar-SA"/>
    </w:rPr>
  </w:style>
</w:styles>
</file>

<file path=word/webSettings.xml><?xml version="1.0" encoding="utf-8"?>
<w:webSettings xmlns:r="http://schemas.openxmlformats.org/officeDocument/2006/relationships" xmlns:w="http://schemas.openxmlformats.org/wordprocessingml/2006/main">
  <w:divs>
    <w:div w:id="12414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УФНС России по Новосибирской области</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user206b_2</dc:creator>
  <cp:lastModifiedBy>User</cp:lastModifiedBy>
  <cp:revision>2</cp:revision>
  <dcterms:created xsi:type="dcterms:W3CDTF">2020-09-03T05:24:00Z</dcterms:created>
  <dcterms:modified xsi:type="dcterms:W3CDTF">2020-09-03T05:24:00Z</dcterms:modified>
</cp:coreProperties>
</file>